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2"/>
          <w:szCs w:val="42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2"/>
          <w:szCs w:val="42"/>
          <w:shd w:val="clear" w:fill="FFFFFF"/>
        </w:rPr>
        <w:t>财政部 税务总局关于明确增值税小规模纳税人减免增值税等政策的公告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/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财政部 税务总局公告2023年第1号</w:t>
      </w:r>
      <w:bookmarkStart w:id="0" w:name="_GoBack"/>
      <w:bookmarkEnd w:id="0"/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2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现将增值税小规模纳税人减免增值税等政策公告如下：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一、自2023年1月1日至2023年12月31日，对月销售额10万元以下（含本数）的增值税小规模纳税人，免征增值税。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二、自2023年1月1日至2023年12月31日，增值税小规模纳税人适用3%征收率的应税销售收入，减按1%征收率征收增值税；适用3%预征率的预缴增值税项目，减按1%预征率预缴增值税。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三、自2023年1月1日至2023年12月31日，增值税加计抵减政策按照以下规定执行：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（一）允许生产性服务业纳税人按照当期可抵扣进项税额加计5%抵减应纳税额。生产性服务业纳税人，是指提供邮政服务、电信服务、现代服务、生活服务取得的销售额占全部销售额的比重超过50%的纳税人。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（二）允许生活性服务业纳税人按照当期可抵扣进项税额加计10%抵减应纳税额。生活性服务业纳税人，是指提供生活服务取得的销售额占全部销售额的比重超过50%的纳税人。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（三）纳税人适用加计抵减政策的其他有关事项，按照《财政部 税务总局 海关总署关于深化增值税改革有关政策的公告》（财政部 税务总局 海关总署公告2019年第39号）、《财政部 税务总局关于明确生活性服务业增值税加计抵减政策的公告》（财政部 税务总局公告2019年第87号）等有关规定执行。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四、按照本公告规定，应予减免的增值税，在本公告下发前已征收的，可抵减纳税人以后纳税期应缴纳税款或予以退还。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特此公告。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right"/>
            </w:pPr>
            <w:r>
              <w:t>财政部  税务总局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right"/>
            </w:pPr>
            <w:r>
              <w:t>2023年1月9日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8310EB"/>
    <w:rsid w:val="309639CB"/>
    <w:rsid w:val="3D6B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2023-05-18T06:34:00Z</dcterms:created>
  <dc:creator>Administrator</dc:creator>
  <cp:lastModifiedBy>李殿科</cp:lastModifiedBy>
  <dcterms:modified xsi:type="dcterms:W3CDTF">2023-08-02T08:32:26Z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